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06C" w:rsidRPr="00460587" w:rsidRDefault="0074706C" w:rsidP="00460587">
      <w:pPr>
        <w:spacing w:line="240" w:lineRule="auto"/>
        <w:ind w:firstLine="720"/>
        <w:jc w:val="center"/>
        <w:rPr>
          <w:rFonts w:ascii="Times New Roman" w:hAnsi="Times New Roman" w:cs="Times New Roman"/>
          <w:b/>
          <w:sz w:val="24"/>
          <w:szCs w:val="24"/>
        </w:rPr>
      </w:pPr>
    </w:p>
    <w:p w:rsidR="0074706C" w:rsidRPr="00460587" w:rsidRDefault="0074706C" w:rsidP="00460587">
      <w:pPr>
        <w:spacing w:line="240" w:lineRule="auto"/>
        <w:ind w:firstLine="720"/>
        <w:jc w:val="center"/>
        <w:rPr>
          <w:rFonts w:ascii="Times New Roman" w:hAnsi="Times New Roman" w:cs="Times New Roman"/>
          <w:b/>
          <w:sz w:val="24"/>
          <w:szCs w:val="24"/>
        </w:rPr>
      </w:pPr>
    </w:p>
    <w:p w:rsidR="0074706C" w:rsidRPr="00460587" w:rsidRDefault="0074706C"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ind w:firstLine="720"/>
        <w:jc w:val="center"/>
        <w:rPr>
          <w:rFonts w:ascii="Times New Roman" w:hAnsi="Times New Roman" w:cs="Times New Roman"/>
          <w:b/>
          <w:sz w:val="24"/>
          <w:szCs w:val="24"/>
        </w:rPr>
      </w:pPr>
    </w:p>
    <w:p w:rsidR="004274A0" w:rsidRPr="00460587" w:rsidRDefault="004B0A98"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t>Management of Banking Institution</w:t>
      </w:r>
    </w:p>
    <w:p w:rsidR="004B0A98" w:rsidRPr="00460587" w:rsidRDefault="004B0A98"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color w:val="0E101A"/>
          <w:sz w:val="24"/>
          <w:szCs w:val="24"/>
        </w:rPr>
        <w:t>Name</w:t>
      </w:r>
    </w:p>
    <w:p w:rsidR="004B0A98" w:rsidRPr="00460587" w:rsidRDefault="004274A0" w:rsidP="00460587">
      <w:pPr>
        <w:pStyle w:val="NormalWeb"/>
        <w:spacing w:before="0" w:beforeAutospacing="0" w:after="0" w:afterAutospacing="0"/>
        <w:jc w:val="center"/>
        <w:rPr>
          <w:color w:val="0E101A"/>
        </w:rPr>
      </w:pPr>
      <w:r w:rsidRPr="00460587">
        <w:rPr>
          <w:color w:val="0E101A"/>
        </w:rPr>
        <w:t xml:space="preserve">              </w:t>
      </w:r>
      <w:r w:rsidR="004B0A98" w:rsidRPr="00460587">
        <w:rPr>
          <w:color w:val="0E101A"/>
        </w:rPr>
        <w:t>Institution</w:t>
      </w:r>
    </w:p>
    <w:p w:rsidR="004B0A98" w:rsidRPr="00460587" w:rsidRDefault="004274A0" w:rsidP="00460587">
      <w:pPr>
        <w:spacing w:line="240" w:lineRule="auto"/>
        <w:jc w:val="center"/>
        <w:rPr>
          <w:rFonts w:ascii="Times New Roman" w:hAnsi="Times New Roman" w:cs="Times New Roman"/>
          <w:b/>
          <w:sz w:val="24"/>
          <w:szCs w:val="24"/>
        </w:rPr>
      </w:pPr>
      <w:r w:rsidRPr="00460587">
        <w:rPr>
          <w:rFonts w:ascii="Times New Roman" w:hAnsi="Times New Roman" w:cs="Times New Roman"/>
          <w:color w:val="0E101A"/>
          <w:sz w:val="24"/>
          <w:szCs w:val="24"/>
        </w:rPr>
        <w:t xml:space="preserve">            </w:t>
      </w:r>
      <w:r w:rsidR="004B0A98" w:rsidRPr="00460587">
        <w:rPr>
          <w:rFonts w:ascii="Times New Roman" w:hAnsi="Times New Roman" w:cs="Times New Roman"/>
          <w:color w:val="0E101A"/>
          <w:sz w:val="24"/>
          <w:szCs w:val="24"/>
        </w:rPr>
        <w:t>Date</w:t>
      </w:r>
    </w:p>
    <w:p w:rsidR="004B0A98" w:rsidRPr="00460587" w:rsidRDefault="004B0A98" w:rsidP="00460587">
      <w:pPr>
        <w:spacing w:line="240" w:lineRule="auto"/>
        <w:jc w:val="center"/>
        <w:rPr>
          <w:rFonts w:ascii="Times New Roman" w:hAnsi="Times New Roman" w:cs="Times New Roman"/>
          <w:b/>
          <w:sz w:val="24"/>
          <w:szCs w:val="24"/>
        </w:rPr>
      </w:pPr>
    </w:p>
    <w:p w:rsidR="0074706C" w:rsidRPr="00460587" w:rsidRDefault="0074706C" w:rsidP="00460587">
      <w:pPr>
        <w:spacing w:line="240" w:lineRule="auto"/>
        <w:ind w:firstLine="720"/>
        <w:jc w:val="center"/>
        <w:rPr>
          <w:rFonts w:ascii="Times New Roman" w:hAnsi="Times New Roman" w:cs="Times New Roman"/>
          <w:b/>
          <w:sz w:val="24"/>
          <w:szCs w:val="24"/>
        </w:rPr>
      </w:pPr>
    </w:p>
    <w:p w:rsidR="0074706C" w:rsidRPr="00460587" w:rsidRDefault="0074706C" w:rsidP="00460587">
      <w:pPr>
        <w:spacing w:line="240" w:lineRule="auto"/>
        <w:ind w:firstLine="720"/>
        <w:jc w:val="center"/>
        <w:rPr>
          <w:rFonts w:ascii="Times New Roman" w:hAnsi="Times New Roman" w:cs="Times New Roman"/>
          <w:b/>
          <w:sz w:val="24"/>
          <w:szCs w:val="24"/>
        </w:rPr>
      </w:pPr>
    </w:p>
    <w:p w:rsidR="0074706C" w:rsidRPr="00460587" w:rsidRDefault="0074706C" w:rsidP="00460587">
      <w:pPr>
        <w:spacing w:line="240" w:lineRule="auto"/>
        <w:ind w:firstLine="720"/>
        <w:jc w:val="center"/>
        <w:rPr>
          <w:rFonts w:ascii="Times New Roman" w:hAnsi="Times New Roman" w:cs="Times New Roman"/>
          <w:b/>
          <w:sz w:val="24"/>
          <w:szCs w:val="24"/>
        </w:rPr>
      </w:pPr>
    </w:p>
    <w:p w:rsidR="0074706C" w:rsidRPr="00460587" w:rsidRDefault="0074706C" w:rsidP="00460587">
      <w:pPr>
        <w:spacing w:line="240" w:lineRule="auto"/>
        <w:ind w:firstLine="720"/>
        <w:jc w:val="center"/>
        <w:rPr>
          <w:rFonts w:ascii="Times New Roman" w:hAnsi="Times New Roman" w:cs="Times New Roman"/>
          <w:b/>
          <w:sz w:val="24"/>
          <w:szCs w:val="24"/>
        </w:rPr>
      </w:pPr>
    </w:p>
    <w:p w:rsidR="004B0A98" w:rsidRPr="00460587" w:rsidRDefault="004B0A98" w:rsidP="00460587">
      <w:pPr>
        <w:spacing w:line="240" w:lineRule="auto"/>
        <w:rPr>
          <w:rFonts w:ascii="Times New Roman" w:hAnsi="Times New Roman" w:cs="Times New Roman"/>
          <w:b/>
          <w:sz w:val="24"/>
          <w:szCs w:val="24"/>
        </w:rPr>
      </w:pPr>
    </w:p>
    <w:p w:rsidR="00460587" w:rsidRDefault="004274A0" w:rsidP="00460587">
      <w:pPr>
        <w:spacing w:line="240" w:lineRule="auto"/>
        <w:jc w:val="center"/>
        <w:rPr>
          <w:rFonts w:ascii="Times New Roman" w:hAnsi="Times New Roman" w:cs="Times New Roman"/>
          <w:b/>
          <w:sz w:val="24"/>
          <w:szCs w:val="24"/>
        </w:rPr>
      </w:pPr>
      <w:r w:rsidRPr="00460587">
        <w:rPr>
          <w:rFonts w:ascii="Times New Roman" w:hAnsi="Times New Roman" w:cs="Times New Roman"/>
          <w:b/>
          <w:sz w:val="24"/>
          <w:szCs w:val="24"/>
        </w:rPr>
        <w:t xml:space="preserve">    </w:t>
      </w: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460587" w:rsidRDefault="00460587" w:rsidP="00460587">
      <w:pPr>
        <w:spacing w:line="240" w:lineRule="auto"/>
        <w:jc w:val="center"/>
        <w:rPr>
          <w:rFonts w:ascii="Times New Roman" w:hAnsi="Times New Roman" w:cs="Times New Roman"/>
          <w:b/>
          <w:sz w:val="24"/>
          <w:szCs w:val="24"/>
        </w:rPr>
      </w:pPr>
    </w:p>
    <w:p w:rsidR="00F64A0E" w:rsidRPr="00460587" w:rsidRDefault="00F64A0E" w:rsidP="00460587">
      <w:pPr>
        <w:spacing w:line="240" w:lineRule="auto"/>
        <w:jc w:val="center"/>
        <w:rPr>
          <w:rFonts w:ascii="Times New Roman" w:hAnsi="Times New Roman" w:cs="Times New Roman"/>
          <w:b/>
          <w:sz w:val="24"/>
          <w:szCs w:val="24"/>
        </w:rPr>
      </w:pPr>
      <w:r w:rsidRPr="00460587">
        <w:rPr>
          <w:rFonts w:ascii="Times New Roman" w:hAnsi="Times New Roman" w:cs="Times New Roman"/>
          <w:b/>
          <w:sz w:val="24"/>
          <w:szCs w:val="24"/>
        </w:rPr>
        <w:lastRenderedPageBreak/>
        <w:t>Management of Banking Institution</w:t>
      </w:r>
    </w:p>
    <w:p w:rsidR="00F64A0E" w:rsidRPr="00460587" w:rsidRDefault="00F64A0E"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t>Question One</w:t>
      </w:r>
    </w:p>
    <w:p w:rsidR="00F64A0E" w:rsidRPr="00460587" w:rsidRDefault="00F64A0E" w:rsidP="00460587">
      <w:pPr>
        <w:spacing w:line="240" w:lineRule="auto"/>
        <w:ind w:firstLine="720"/>
        <w:rPr>
          <w:rFonts w:ascii="Times New Roman" w:hAnsi="Times New Roman" w:cs="Times New Roman"/>
          <w:sz w:val="24"/>
          <w:szCs w:val="24"/>
        </w:rPr>
      </w:pPr>
      <w:r w:rsidRPr="00460587">
        <w:rPr>
          <w:rFonts w:ascii="Times New Roman" w:hAnsi="Times New Roman" w:cs="Times New Roman"/>
          <w:sz w:val="24"/>
          <w:szCs w:val="24"/>
        </w:rPr>
        <w:t>Shared National Credit Program (SNC) is an interagency re</w:t>
      </w:r>
      <w:r w:rsidR="004B0A98" w:rsidRPr="00460587">
        <w:rPr>
          <w:rFonts w:ascii="Times New Roman" w:hAnsi="Times New Roman" w:cs="Times New Roman"/>
          <w:sz w:val="24"/>
          <w:szCs w:val="24"/>
        </w:rPr>
        <w:t>view and analysis of risk in</w:t>
      </w:r>
      <w:r w:rsidRPr="00460587">
        <w:rPr>
          <w:rFonts w:ascii="Times New Roman" w:hAnsi="Times New Roman" w:cs="Times New Roman"/>
          <w:sz w:val="24"/>
          <w:szCs w:val="24"/>
        </w:rPr>
        <w:t xml:space="preserve"> large and complex credits involving various financial institutions. The SNC program aims at providing uniform treatment in SCN analysis and classification. The program is governed by three agencies including, Office of the Comptroller of the Currency, Board of Governors of the Federal Reserve System, and the Federal Deposit Insurance Corporation. The SNC program has changed its annual reporting, which were previously completed in the first quarter to the third quarter of the calendar year, reflecting as of June 30. The SNC program also announced that the aggregate loan commitment threshold for inclusion would increase from $20 million to $100 million, a chang</w:t>
      </w:r>
      <w:r w:rsidR="0074706C" w:rsidRPr="00460587">
        <w:rPr>
          <w:rFonts w:ascii="Times New Roman" w:hAnsi="Times New Roman" w:cs="Times New Roman"/>
          <w:sz w:val="24"/>
          <w:szCs w:val="24"/>
        </w:rPr>
        <w:t>e aimed at adjusting inflations (Washington, 2020).</w:t>
      </w:r>
      <w:r w:rsidRPr="00460587">
        <w:rPr>
          <w:rFonts w:ascii="Times New Roman" w:hAnsi="Times New Roman" w:cs="Times New Roman"/>
          <w:sz w:val="24"/>
          <w:szCs w:val="24"/>
        </w:rPr>
        <w:t xml:space="preserve"> The cha</w:t>
      </w:r>
      <w:r w:rsidR="004201BC" w:rsidRPr="00460587">
        <w:rPr>
          <w:rFonts w:ascii="Times New Roman" w:hAnsi="Times New Roman" w:cs="Times New Roman"/>
          <w:sz w:val="24"/>
          <w:szCs w:val="24"/>
        </w:rPr>
        <w:t>nge was effective since January 1, 2018, and it has</w:t>
      </w:r>
      <w:r w:rsidRPr="00460587">
        <w:rPr>
          <w:rFonts w:ascii="Times New Roman" w:hAnsi="Times New Roman" w:cs="Times New Roman"/>
          <w:sz w:val="24"/>
          <w:szCs w:val="24"/>
        </w:rPr>
        <w:t xml:space="preserve"> help</w:t>
      </w:r>
      <w:r w:rsidR="004201BC" w:rsidRPr="00460587">
        <w:rPr>
          <w:rFonts w:ascii="Times New Roman" w:hAnsi="Times New Roman" w:cs="Times New Roman"/>
          <w:sz w:val="24"/>
          <w:szCs w:val="24"/>
        </w:rPr>
        <w:t>ed to</w:t>
      </w:r>
      <w:r w:rsidRPr="00460587">
        <w:rPr>
          <w:rFonts w:ascii="Times New Roman" w:hAnsi="Times New Roman" w:cs="Times New Roman"/>
          <w:sz w:val="24"/>
          <w:szCs w:val="24"/>
        </w:rPr>
        <w:t xml:space="preserve"> reduce the burden for several banking institutions withou</w:t>
      </w:r>
      <w:r w:rsidR="0040570A" w:rsidRPr="00460587">
        <w:rPr>
          <w:rFonts w:ascii="Times New Roman" w:hAnsi="Times New Roman" w:cs="Times New Roman"/>
          <w:sz w:val="24"/>
          <w:szCs w:val="24"/>
        </w:rPr>
        <w:t>t changing the portfolio's size (Washington, 2020).</w:t>
      </w:r>
    </w:p>
    <w:p w:rsidR="00F64A0E" w:rsidRPr="00460587" w:rsidRDefault="00F64A0E"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t>Question Two</w:t>
      </w:r>
    </w:p>
    <w:p w:rsidR="00F64A0E" w:rsidRPr="00460587" w:rsidRDefault="00F64A0E" w:rsidP="00460587">
      <w:pPr>
        <w:spacing w:line="240" w:lineRule="auto"/>
        <w:ind w:firstLine="720"/>
        <w:rPr>
          <w:rFonts w:ascii="Times New Roman" w:hAnsi="Times New Roman" w:cs="Times New Roman"/>
          <w:sz w:val="24"/>
          <w:szCs w:val="24"/>
        </w:rPr>
      </w:pPr>
      <w:r w:rsidRPr="00460587">
        <w:rPr>
          <w:rFonts w:ascii="Times New Roman" w:hAnsi="Times New Roman" w:cs="Times New Roman"/>
          <w:sz w:val="24"/>
          <w:szCs w:val="24"/>
        </w:rPr>
        <w:t>A syndicated loan is a financing option offered by institutional lenders to borrowers securing loans outside the scope of their risk exposure level. Syndicated loans are aimed at contributing part of the loan amount for a single borrower. Ideally, the credit is syndicated to investors because financial institutions face various risks in the dynamic markets. Banking institutions are always subject to regulations where non- compliance is not an option.  Managing risk is one of the key requirements that regulators focus on. Management information systems are aimed at providing timely calculations to help in planning, prioritization, and reviews. Th</w:t>
      </w:r>
      <w:r w:rsidR="004201BC" w:rsidRPr="00460587">
        <w:rPr>
          <w:rFonts w:ascii="Times New Roman" w:hAnsi="Times New Roman" w:cs="Times New Roman"/>
          <w:sz w:val="24"/>
          <w:szCs w:val="24"/>
        </w:rPr>
        <w:t>e regulators are concerned with</w:t>
      </w:r>
      <w:r w:rsidRPr="00460587">
        <w:rPr>
          <w:rFonts w:ascii="Times New Roman" w:hAnsi="Times New Roman" w:cs="Times New Roman"/>
          <w:sz w:val="24"/>
          <w:szCs w:val="24"/>
        </w:rPr>
        <w:t xml:space="preserve"> leveraged lending practices for different risk profiles. Also, </w:t>
      </w:r>
      <w:r w:rsidR="004201BC" w:rsidRPr="00460587">
        <w:rPr>
          <w:rFonts w:ascii="Times New Roman" w:hAnsi="Times New Roman" w:cs="Times New Roman"/>
          <w:sz w:val="24"/>
          <w:szCs w:val="24"/>
        </w:rPr>
        <w:t>regulators are concerned wi</w:t>
      </w:r>
      <w:r w:rsidRPr="00460587">
        <w:rPr>
          <w:rFonts w:ascii="Times New Roman" w:hAnsi="Times New Roman" w:cs="Times New Roman"/>
          <w:sz w:val="24"/>
          <w:szCs w:val="24"/>
        </w:rPr>
        <w:t>t</w:t>
      </w:r>
      <w:r w:rsidR="004201BC" w:rsidRPr="00460587">
        <w:rPr>
          <w:rFonts w:ascii="Times New Roman" w:hAnsi="Times New Roman" w:cs="Times New Roman"/>
          <w:sz w:val="24"/>
          <w:szCs w:val="24"/>
        </w:rPr>
        <w:t>h</w:t>
      </w:r>
      <w:r w:rsidRPr="00460587">
        <w:rPr>
          <w:rFonts w:ascii="Times New Roman" w:hAnsi="Times New Roman" w:cs="Times New Roman"/>
          <w:sz w:val="24"/>
          <w:szCs w:val="24"/>
        </w:rPr>
        <w:t xml:space="preserve"> debt agreements, which should be clearly written to provide limited lender protection and inc</w:t>
      </w:r>
      <w:r w:rsidR="0040570A" w:rsidRPr="00460587">
        <w:rPr>
          <w:rFonts w:ascii="Times New Roman" w:hAnsi="Times New Roman" w:cs="Times New Roman"/>
          <w:sz w:val="24"/>
          <w:szCs w:val="24"/>
        </w:rPr>
        <w:t>lude meaningful loan agreements (</w:t>
      </w:r>
      <w:r w:rsidR="0040570A" w:rsidRPr="00460587">
        <w:rPr>
          <w:rFonts w:ascii="Times New Roman" w:hAnsi="Times New Roman" w:cs="Times New Roman"/>
          <w:color w:val="222222"/>
          <w:sz w:val="24"/>
          <w:szCs w:val="24"/>
          <w:shd w:val="clear" w:color="auto" w:fill="FFFFFF"/>
        </w:rPr>
        <w:t>Lee et al., 2019)</w:t>
      </w:r>
    </w:p>
    <w:p w:rsidR="00F64A0E" w:rsidRPr="00460587" w:rsidRDefault="00F64A0E"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t>Question Three</w:t>
      </w:r>
    </w:p>
    <w:p w:rsidR="00F64A0E" w:rsidRPr="00460587" w:rsidRDefault="00F64A0E" w:rsidP="00460587">
      <w:pPr>
        <w:spacing w:line="240" w:lineRule="auto"/>
        <w:ind w:firstLine="720"/>
        <w:rPr>
          <w:rFonts w:ascii="Times New Roman" w:hAnsi="Times New Roman" w:cs="Times New Roman"/>
          <w:sz w:val="24"/>
          <w:szCs w:val="24"/>
        </w:rPr>
      </w:pPr>
      <w:r w:rsidRPr="00460587">
        <w:rPr>
          <w:rFonts w:ascii="Times New Roman" w:hAnsi="Times New Roman" w:cs="Times New Roman"/>
          <w:sz w:val="24"/>
          <w:szCs w:val="24"/>
        </w:rPr>
        <w:t>The 2013 Interagency Agency Guidance on Syndicated lending addressed the critical areas of weakness in syndicate loans and identified the risks. The Interagency Agency also examined the credit aspect of syndicated loans that have increased leveraged loans. The admin's current view on this guidance is that banks engaged in syndicated lending should ensure their risk management process remains effective in the current dynamic market condition. Also, there should be a complete financial analysis based on growth, revenue, and cost-saving assumptions, which consider the impact of incremental facilities. All banks should consider recovery rates in their portfolio management because they chance and differ from time. Finally, the risk identified should be measured against the potential impac</w:t>
      </w:r>
      <w:r w:rsidR="0074706C" w:rsidRPr="00460587">
        <w:rPr>
          <w:rFonts w:ascii="Times New Roman" w:hAnsi="Times New Roman" w:cs="Times New Roman"/>
          <w:sz w:val="24"/>
          <w:szCs w:val="24"/>
        </w:rPr>
        <w:t>t on the syndicated loan amount (</w:t>
      </w:r>
      <w:r w:rsidR="0074706C" w:rsidRPr="00460587">
        <w:rPr>
          <w:rFonts w:ascii="Times New Roman" w:hAnsi="Times New Roman" w:cs="Times New Roman"/>
          <w:color w:val="222222"/>
          <w:sz w:val="24"/>
          <w:szCs w:val="24"/>
          <w:shd w:val="clear" w:color="auto" w:fill="FFFFFF"/>
        </w:rPr>
        <w:t>Meyerson et al., 2013).</w:t>
      </w:r>
    </w:p>
    <w:p w:rsidR="00F64A0E" w:rsidRPr="00460587" w:rsidRDefault="00F64A0E"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t>Question Four</w:t>
      </w:r>
    </w:p>
    <w:p w:rsidR="00F64A0E" w:rsidRPr="00460587" w:rsidRDefault="00F64A0E" w:rsidP="00460587">
      <w:pPr>
        <w:spacing w:line="240" w:lineRule="auto"/>
        <w:ind w:firstLine="720"/>
        <w:rPr>
          <w:rFonts w:ascii="Times New Roman" w:hAnsi="Times New Roman" w:cs="Times New Roman"/>
          <w:sz w:val="24"/>
          <w:szCs w:val="24"/>
        </w:rPr>
      </w:pPr>
      <w:r w:rsidRPr="00460587">
        <w:rPr>
          <w:rFonts w:ascii="Times New Roman" w:hAnsi="Times New Roman" w:cs="Times New Roman"/>
          <w:sz w:val="24"/>
          <w:szCs w:val="24"/>
        </w:rPr>
        <w:t xml:space="preserve">SNC loans are all funded because they are under financial institutions supervised federally. The financial institution may not lend small banks an amount that is more than fifteen percent of their capital, so they opt to participate in a syndicated loan. The goal is to break down the loan further because such loans tend to be larger than the financial institution's standard loans. The main aim of a bank offering a syndicated loan is to spread the risk of a defaulting borrower across several lenders who are usually institutions like pension funds and hedge funds. </w:t>
      </w:r>
      <w:r w:rsidRPr="00460587">
        <w:rPr>
          <w:rFonts w:ascii="Times New Roman" w:hAnsi="Times New Roman" w:cs="Times New Roman"/>
          <w:sz w:val="24"/>
          <w:szCs w:val="24"/>
        </w:rPr>
        <w:lastRenderedPageBreak/>
        <w:t>Also, syndicated loans are complex to ensure against any issue that could hurt the financia</w:t>
      </w:r>
      <w:r w:rsidR="0040570A" w:rsidRPr="00460587">
        <w:rPr>
          <w:rFonts w:ascii="Times New Roman" w:hAnsi="Times New Roman" w:cs="Times New Roman"/>
          <w:sz w:val="24"/>
          <w:szCs w:val="24"/>
        </w:rPr>
        <w:t xml:space="preserve">l markets </w:t>
      </w:r>
      <w:r w:rsidR="004201BC" w:rsidRPr="00460587">
        <w:rPr>
          <w:rFonts w:ascii="Times New Roman" w:hAnsi="Times New Roman" w:cs="Times New Roman"/>
          <w:sz w:val="24"/>
          <w:szCs w:val="24"/>
        </w:rPr>
        <w:t xml:space="preserve">in which </w:t>
      </w:r>
      <w:r w:rsidR="0040570A" w:rsidRPr="00460587">
        <w:rPr>
          <w:rFonts w:ascii="Times New Roman" w:hAnsi="Times New Roman" w:cs="Times New Roman"/>
          <w:sz w:val="24"/>
          <w:szCs w:val="24"/>
        </w:rPr>
        <w:t xml:space="preserve">the banks are insured </w:t>
      </w:r>
      <w:r w:rsidR="0040570A" w:rsidRPr="00460587">
        <w:rPr>
          <w:rFonts w:ascii="Times New Roman" w:hAnsi="Times New Roman" w:cs="Times New Roman"/>
          <w:color w:val="222222"/>
          <w:sz w:val="24"/>
          <w:szCs w:val="24"/>
          <w:shd w:val="clear" w:color="auto" w:fill="FFFFFF"/>
        </w:rPr>
        <w:t>(Lopez, 2005).</w:t>
      </w:r>
      <w:r w:rsidRPr="00460587">
        <w:rPr>
          <w:rFonts w:ascii="Times New Roman" w:hAnsi="Times New Roman" w:cs="Times New Roman"/>
          <w:sz w:val="24"/>
          <w:szCs w:val="24"/>
        </w:rPr>
        <w:t xml:space="preserve"> However, other credit risk transfer methods have been developed for transferring credit risk between banks. The credit risk transfer (CRT) methods are designed concerning the volume of transactions involved. Also, the liquidity in the underlying loan markets is increased. The various </w:t>
      </w:r>
      <w:r w:rsidR="004274A0" w:rsidRPr="00460587">
        <w:rPr>
          <w:rFonts w:ascii="Times New Roman" w:hAnsi="Times New Roman" w:cs="Times New Roman"/>
          <w:sz w:val="24"/>
          <w:szCs w:val="24"/>
        </w:rPr>
        <w:t xml:space="preserve">mechanisms include </w:t>
      </w:r>
      <w:r w:rsidRPr="00460587">
        <w:rPr>
          <w:rFonts w:ascii="Times New Roman" w:hAnsi="Times New Roman" w:cs="Times New Roman"/>
          <w:sz w:val="24"/>
          <w:szCs w:val="24"/>
        </w:rPr>
        <w:t>protecting the valuable relationship the lender has forged with the borrower by the possibility of reducing the commitment to the borrower with a CRT transaction. The second method involves information advantage directed towards the original lender, the potential contracting party to the CRT transaction. The third method is securitization. It involves transferring debt obligations to a third party, which issues securities against the original debt's principal payment. The fourth CRT method is credit derivatives that involve transferring all or some of the obligation from one party to another without interf</w:t>
      </w:r>
      <w:r w:rsidR="0040570A" w:rsidRPr="00460587">
        <w:rPr>
          <w:rFonts w:ascii="Times New Roman" w:hAnsi="Times New Roman" w:cs="Times New Roman"/>
          <w:sz w:val="24"/>
          <w:szCs w:val="24"/>
        </w:rPr>
        <w:t>ering with the underlying asset</w:t>
      </w:r>
      <w:r w:rsidR="0040570A" w:rsidRPr="00460587">
        <w:rPr>
          <w:rFonts w:ascii="Times New Roman" w:hAnsi="Times New Roman" w:cs="Times New Roman"/>
          <w:color w:val="222222"/>
          <w:sz w:val="24"/>
          <w:szCs w:val="24"/>
          <w:shd w:val="clear" w:color="auto" w:fill="FFFFFF"/>
        </w:rPr>
        <w:t xml:space="preserve"> (Lopez, 2005).</w:t>
      </w:r>
    </w:p>
    <w:p w:rsidR="00F64A0E" w:rsidRPr="00460587" w:rsidRDefault="00F64A0E"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t>Question five</w:t>
      </w:r>
    </w:p>
    <w:p w:rsidR="00F64A0E" w:rsidRPr="00460587" w:rsidRDefault="00F64A0E" w:rsidP="00460587">
      <w:pPr>
        <w:spacing w:line="240" w:lineRule="auto"/>
        <w:ind w:firstLine="720"/>
        <w:rPr>
          <w:rFonts w:ascii="Times New Roman" w:hAnsi="Times New Roman" w:cs="Times New Roman"/>
          <w:sz w:val="24"/>
          <w:szCs w:val="24"/>
        </w:rPr>
      </w:pPr>
      <w:r w:rsidRPr="00460587">
        <w:rPr>
          <w:rFonts w:ascii="Times New Roman" w:hAnsi="Times New Roman" w:cs="Times New Roman"/>
          <w:sz w:val="24"/>
          <w:szCs w:val="24"/>
        </w:rPr>
        <w:t>Financial examiners rate loans and determine whether the transactions and financial business comply with established regulations. They evaluate the risk of financial loans, review loan documentation, assess bank management, examine the balance sheets, and u</w:t>
      </w:r>
      <w:r w:rsidR="004201BC" w:rsidRPr="00460587">
        <w:rPr>
          <w:rFonts w:ascii="Times New Roman" w:hAnsi="Times New Roman" w:cs="Times New Roman"/>
          <w:sz w:val="24"/>
          <w:szCs w:val="24"/>
        </w:rPr>
        <w:t>se</w:t>
      </w:r>
      <w:r w:rsidRPr="00460587">
        <w:rPr>
          <w:rFonts w:ascii="Times New Roman" w:hAnsi="Times New Roman" w:cs="Times New Roman"/>
          <w:sz w:val="24"/>
          <w:szCs w:val="24"/>
        </w:rPr>
        <w:t xml:space="preserve"> that information to rate loans. Generally, they use the financial soundness of financial institutions to rate lo</w:t>
      </w:r>
      <w:r w:rsidR="004201BC" w:rsidRPr="00460587">
        <w:rPr>
          <w:rFonts w:ascii="Times New Roman" w:hAnsi="Times New Roman" w:cs="Times New Roman"/>
          <w:sz w:val="24"/>
          <w:szCs w:val="24"/>
        </w:rPr>
        <w:t>ans. A classified loan is one</w:t>
      </w:r>
      <w:r w:rsidRPr="00460587">
        <w:rPr>
          <w:rFonts w:ascii="Times New Roman" w:hAnsi="Times New Roman" w:cs="Times New Roman"/>
          <w:sz w:val="24"/>
          <w:szCs w:val="24"/>
        </w:rPr>
        <w:t xml:space="preserve"> that has been rated substandard in that it's unclear whether the bank will be able to recoup the proceeding of the loan from the borrower. A criticized loan is rated with a special mention, loss, or doubtful defined by the agencies. Loan ratings are important because they provide sound practices needed when engaging in commercial lending activities. In addition, loan rating ensures </w:t>
      </w:r>
      <w:r w:rsidR="0040570A" w:rsidRPr="00460587">
        <w:rPr>
          <w:rFonts w:ascii="Times New Roman" w:hAnsi="Times New Roman" w:cs="Times New Roman"/>
          <w:sz w:val="24"/>
          <w:szCs w:val="24"/>
        </w:rPr>
        <w:t>risks is identified and managed (</w:t>
      </w:r>
      <w:r w:rsidR="0040570A" w:rsidRPr="00460587">
        <w:rPr>
          <w:rFonts w:ascii="Times New Roman" w:hAnsi="Times New Roman" w:cs="Times New Roman"/>
          <w:color w:val="222222"/>
          <w:sz w:val="24"/>
          <w:szCs w:val="24"/>
          <w:shd w:val="clear" w:color="auto" w:fill="FFFFFF"/>
        </w:rPr>
        <w:t>Meyerson et al., 2013).</w:t>
      </w:r>
    </w:p>
    <w:p w:rsidR="00F64A0E" w:rsidRPr="00460587" w:rsidRDefault="00F64A0E" w:rsidP="00460587">
      <w:pPr>
        <w:spacing w:line="240" w:lineRule="auto"/>
        <w:ind w:firstLine="720"/>
        <w:rPr>
          <w:rFonts w:ascii="Times New Roman" w:hAnsi="Times New Roman" w:cs="Times New Roman"/>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60587" w:rsidRDefault="00460587" w:rsidP="00460587">
      <w:pPr>
        <w:spacing w:line="240" w:lineRule="auto"/>
        <w:ind w:firstLine="720"/>
        <w:jc w:val="center"/>
        <w:rPr>
          <w:rFonts w:ascii="Times New Roman" w:hAnsi="Times New Roman" w:cs="Times New Roman"/>
          <w:b/>
          <w:sz w:val="24"/>
          <w:szCs w:val="24"/>
        </w:rPr>
      </w:pPr>
    </w:p>
    <w:p w:rsidR="0049711B" w:rsidRPr="00460587" w:rsidRDefault="00F64A0E" w:rsidP="00460587">
      <w:pPr>
        <w:spacing w:line="240" w:lineRule="auto"/>
        <w:ind w:firstLine="720"/>
        <w:jc w:val="center"/>
        <w:rPr>
          <w:rFonts w:ascii="Times New Roman" w:hAnsi="Times New Roman" w:cs="Times New Roman"/>
          <w:b/>
          <w:sz w:val="24"/>
          <w:szCs w:val="24"/>
        </w:rPr>
      </w:pPr>
      <w:r w:rsidRPr="00460587">
        <w:rPr>
          <w:rFonts w:ascii="Times New Roman" w:hAnsi="Times New Roman" w:cs="Times New Roman"/>
          <w:b/>
          <w:sz w:val="24"/>
          <w:szCs w:val="24"/>
        </w:rPr>
        <w:lastRenderedPageBreak/>
        <w:t>References</w:t>
      </w:r>
      <w:bookmarkStart w:id="0" w:name="_GoBack"/>
      <w:bookmarkEnd w:id="0"/>
    </w:p>
    <w:p w:rsidR="00F64A0E" w:rsidRPr="00460587" w:rsidRDefault="00F64A0E" w:rsidP="00460587">
      <w:pPr>
        <w:spacing w:line="240" w:lineRule="auto"/>
        <w:ind w:left="720" w:hanging="720"/>
        <w:rPr>
          <w:rFonts w:ascii="Times New Roman" w:hAnsi="Times New Roman" w:cs="Times New Roman"/>
          <w:sz w:val="24"/>
          <w:szCs w:val="24"/>
        </w:rPr>
      </w:pPr>
      <w:r w:rsidRPr="00460587">
        <w:rPr>
          <w:rFonts w:ascii="Times New Roman" w:hAnsi="Times New Roman" w:cs="Times New Roman"/>
          <w:sz w:val="24"/>
          <w:szCs w:val="24"/>
        </w:rPr>
        <w:t xml:space="preserve">Washington, D.C. (2020). Shared National Credit Program 1st and 3rd Quarter 2019 Reviews. Retrieved from: </w:t>
      </w:r>
      <w:hyperlink r:id="rId6" w:history="1">
        <w:r w:rsidRPr="00460587">
          <w:rPr>
            <w:rStyle w:val="Hyperlink"/>
            <w:rFonts w:ascii="Times New Roman" w:hAnsi="Times New Roman" w:cs="Times New Roman"/>
            <w:sz w:val="24"/>
            <w:szCs w:val="24"/>
          </w:rPr>
          <w:t>https://www.federalreserve.gov/newsevents/pressreleases/files/bcreg20200131a1.pdf</w:t>
        </w:r>
      </w:hyperlink>
    </w:p>
    <w:p w:rsidR="00F64A0E" w:rsidRPr="00460587" w:rsidRDefault="00F64A0E" w:rsidP="00460587">
      <w:pPr>
        <w:spacing w:line="240" w:lineRule="auto"/>
        <w:ind w:left="720" w:hanging="720"/>
        <w:rPr>
          <w:rFonts w:ascii="Times New Roman" w:hAnsi="Times New Roman" w:cs="Times New Roman"/>
          <w:color w:val="222222"/>
          <w:sz w:val="24"/>
          <w:szCs w:val="24"/>
          <w:shd w:val="clear" w:color="auto" w:fill="FFFFFF"/>
        </w:rPr>
      </w:pPr>
      <w:r w:rsidRPr="00460587">
        <w:rPr>
          <w:rFonts w:ascii="Times New Roman" w:hAnsi="Times New Roman" w:cs="Times New Roman"/>
          <w:color w:val="222222"/>
          <w:sz w:val="24"/>
          <w:szCs w:val="24"/>
          <w:shd w:val="clear" w:color="auto" w:fill="FFFFFF"/>
        </w:rPr>
        <w:t>Lee, S. J., Li, D., Meisenzahl, R., &amp; Sicilian, M. (2019). The US Syndicated Term Loan Market: Who Holds What and When?.</w:t>
      </w:r>
    </w:p>
    <w:p w:rsidR="00F64A0E" w:rsidRPr="00460587" w:rsidRDefault="00F64A0E" w:rsidP="00460587">
      <w:pPr>
        <w:spacing w:line="240" w:lineRule="auto"/>
        <w:ind w:left="720" w:hanging="720"/>
        <w:rPr>
          <w:rFonts w:ascii="Times New Roman" w:hAnsi="Times New Roman" w:cs="Times New Roman"/>
          <w:color w:val="222222"/>
          <w:sz w:val="24"/>
          <w:szCs w:val="24"/>
          <w:shd w:val="clear" w:color="auto" w:fill="FFFFFF"/>
        </w:rPr>
      </w:pPr>
      <w:r w:rsidRPr="00460587">
        <w:rPr>
          <w:rFonts w:ascii="Times New Roman" w:hAnsi="Times New Roman" w:cs="Times New Roman"/>
          <w:color w:val="222222"/>
          <w:sz w:val="24"/>
          <w:szCs w:val="24"/>
          <w:shd w:val="clear" w:color="auto" w:fill="FFFFFF"/>
        </w:rPr>
        <w:t>Meyerson, L. A., McGinn, S. E., &amp; Chorazak, M. (2013). Federal Banking Agencies Revamp Guidance on Leveraged Lending. </w:t>
      </w:r>
      <w:r w:rsidRPr="00460587">
        <w:rPr>
          <w:rFonts w:ascii="Times New Roman" w:hAnsi="Times New Roman" w:cs="Times New Roman"/>
          <w:i/>
          <w:iCs/>
          <w:color w:val="222222"/>
          <w:sz w:val="24"/>
          <w:szCs w:val="24"/>
          <w:shd w:val="clear" w:color="auto" w:fill="FFFFFF"/>
        </w:rPr>
        <w:t>Banking LJ</w:t>
      </w:r>
      <w:r w:rsidRPr="00460587">
        <w:rPr>
          <w:rFonts w:ascii="Times New Roman" w:hAnsi="Times New Roman" w:cs="Times New Roman"/>
          <w:color w:val="222222"/>
          <w:sz w:val="24"/>
          <w:szCs w:val="24"/>
          <w:shd w:val="clear" w:color="auto" w:fill="FFFFFF"/>
        </w:rPr>
        <w:t>, </w:t>
      </w:r>
      <w:r w:rsidRPr="00460587">
        <w:rPr>
          <w:rFonts w:ascii="Times New Roman" w:hAnsi="Times New Roman" w:cs="Times New Roman"/>
          <w:i/>
          <w:iCs/>
          <w:color w:val="222222"/>
          <w:sz w:val="24"/>
          <w:szCs w:val="24"/>
          <w:shd w:val="clear" w:color="auto" w:fill="FFFFFF"/>
        </w:rPr>
        <w:t>130</w:t>
      </w:r>
      <w:r w:rsidRPr="00460587">
        <w:rPr>
          <w:rFonts w:ascii="Times New Roman" w:hAnsi="Times New Roman" w:cs="Times New Roman"/>
          <w:color w:val="222222"/>
          <w:sz w:val="24"/>
          <w:szCs w:val="24"/>
          <w:shd w:val="clear" w:color="auto" w:fill="FFFFFF"/>
        </w:rPr>
        <w:t>, 387.</w:t>
      </w:r>
    </w:p>
    <w:p w:rsidR="0040570A" w:rsidRPr="00460587" w:rsidRDefault="0040570A" w:rsidP="00460587">
      <w:pPr>
        <w:spacing w:line="240" w:lineRule="auto"/>
        <w:ind w:left="720" w:hanging="720"/>
        <w:rPr>
          <w:rFonts w:ascii="Times New Roman" w:hAnsi="Times New Roman" w:cs="Times New Roman"/>
          <w:sz w:val="24"/>
          <w:szCs w:val="24"/>
        </w:rPr>
      </w:pPr>
      <w:r w:rsidRPr="00460587">
        <w:rPr>
          <w:rFonts w:ascii="Times New Roman" w:hAnsi="Times New Roman" w:cs="Times New Roman"/>
          <w:color w:val="222222"/>
          <w:sz w:val="24"/>
          <w:szCs w:val="24"/>
          <w:shd w:val="clear" w:color="auto" w:fill="FFFFFF"/>
        </w:rPr>
        <w:t>Lopez, J. A. (2005). Recent policy issues regarding credit risk transfer. </w:t>
      </w:r>
      <w:r w:rsidRPr="00460587">
        <w:rPr>
          <w:rFonts w:ascii="Times New Roman" w:hAnsi="Times New Roman" w:cs="Times New Roman"/>
          <w:i/>
          <w:iCs/>
          <w:color w:val="222222"/>
          <w:sz w:val="24"/>
          <w:szCs w:val="24"/>
          <w:shd w:val="clear" w:color="auto" w:fill="FFFFFF"/>
        </w:rPr>
        <w:t>FRBSF Economic Letter</w:t>
      </w:r>
      <w:r w:rsidRPr="00460587">
        <w:rPr>
          <w:rFonts w:ascii="Times New Roman" w:hAnsi="Times New Roman" w:cs="Times New Roman"/>
          <w:color w:val="222222"/>
          <w:sz w:val="24"/>
          <w:szCs w:val="24"/>
          <w:shd w:val="clear" w:color="auto" w:fill="FFFFFF"/>
        </w:rPr>
        <w:t>.</w:t>
      </w:r>
    </w:p>
    <w:p w:rsidR="00F64A0E" w:rsidRPr="00460587" w:rsidRDefault="00F64A0E" w:rsidP="00460587">
      <w:pPr>
        <w:spacing w:line="240" w:lineRule="auto"/>
        <w:rPr>
          <w:rFonts w:ascii="Times New Roman" w:hAnsi="Times New Roman" w:cs="Times New Roman"/>
          <w:sz w:val="24"/>
          <w:szCs w:val="24"/>
        </w:rPr>
      </w:pPr>
    </w:p>
    <w:sectPr w:rsidR="00F64A0E" w:rsidRPr="00460587" w:rsidSect="00C15C2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3109" w:rsidRDefault="004D3109" w:rsidP="0074706C">
      <w:pPr>
        <w:spacing w:after="0" w:line="240" w:lineRule="auto"/>
      </w:pPr>
      <w:r>
        <w:separator/>
      </w:r>
    </w:p>
  </w:endnote>
  <w:endnote w:type="continuationSeparator" w:id="1">
    <w:p w:rsidR="004D3109" w:rsidRDefault="004D3109" w:rsidP="00747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3109" w:rsidRDefault="004D3109" w:rsidP="0074706C">
      <w:pPr>
        <w:spacing w:after="0" w:line="240" w:lineRule="auto"/>
      </w:pPr>
      <w:r>
        <w:separator/>
      </w:r>
    </w:p>
  </w:footnote>
  <w:footnote w:type="continuationSeparator" w:id="1">
    <w:p w:rsidR="004D3109" w:rsidRDefault="004D3109" w:rsidP="00747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6C" w:rsidRPr="0074706C" w:rsidRDefault="0074706C">
    <w:pPr>
      <w:pStyle w:val="Header"/>
      <w:rPr>
        <w:rFonts w:ascii="Times New Roman" w:hAnsi="Times New Roman" w:cs="Times New Roman"/>
        <w:sz w:val="24"/>
        <w:szCs w:val="24"/>
      </w:rPr>
    </w:pPr>
    <w:r>
      <w:tab/>
    </w:r>
    <w:r>
      <w:tab/>
    </w:r>
    <w:r w:rsidR="00283DC9" w:rsidRPr="0074706C">
      <w:rPr>
        <w:rFonts w:ascii="Times New Roman" w:hAnsi="Times New Roman" w:cs="Times New Roman"/>
        <w:sz w:val="24"/>
        <w:szCs w:val="24"/>
      </w:rPr>
      <w:fldChar w:fldCharType="begin"/>
    </w:r>
    <w:r w:rsidRPr="0074706C">
      <w:rPr>
        <w:rFonts w:ascii="Times New Roman" w:hAnsi="Times New Roman" w:cs="Times New Roman"/>
        <w:sz w:val="24"/>
        <w:szCs w:val="24"/>
      </w:rPr>
      <w:instrText xml:space="preserve"> PAGE   \* MERGEFORMAT </w:instrText>
    </w:r>
    <w:r w:rsidR="00283DC9" w:rsidRPr="0074706C">
      <w:rPr>
        <w:rFonts w:ascii="Times New Roman" w:hAnsi="Times New Roman" w:cs="Times New Roman"/>
        <w:sz w:val="24"/>
        <w:szCs w:val="24"/>
      </w:rPr>
      <w:fldChar w:fldCharType="separate"/>
    </w:r>
    <w:r w:rsidR="00460587">
      <w:rPr>
        <w:rFonts w:ascii="Times New Roman" w:hAnsi="Times New Roman" w:cs="Times New Roman"/>
        <w:noProof/>
        <w:sz w:val="24"/>
        <w:szCs w:val="24"/>
      </w:rPr>
      <w:t>2</w:t>
    </w:r>
    <w:r w:rsidR="00283DC9" w:rsidRPr="0074706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3DDB"/>
    <w:rsid w:val="00075FF7"/>
    <w:rsid w:val="00100345"/>
    <w:rsid w:val="001B5042"/>
    <w:rsid w:val="00283DC9"/>
    <w:rsid w:val="002E1A65"/>
    <w:rsid w:val="00344BF8"/>
    <w:rsid w:val="003718EF"/>
    <w:rsid w:val="0040570A"/>
    <w:rsid w:val="004201BC"/>
    <w:rsid w:val="004274A0"/>
    <w:rsid w:val="00460587"/>
    <w:rsid w:val="0049711B"/>
    <w:rsid w:val="004B0A98"/>
    <w:rsid w:val="004D3109"/>
    <w:rsid w:val="0050791A"/>
    <w:rsid w:val="00546B95"/>
    <w:rsid w:val="0059773E"/>
    <w:rsid w:val="006361CD"/>
    <w:rsid w:val="00655B53"/>
    <w:rsid w:val="007458FC"/>
    <w:rsid w:val="0074706C"/>
    <w:rsid w:val="008E75BA"/>
    <w:rsid w:val="00947016"/>
    <w:rsid w:val="009B1A65"/>
    <w:rsid w:val="009D0CB0"/>
    <w:rsid w:val="009F31C6"/>
    <w:rsid w:val="00A05D02"/>
    <w:rsid w:val="00A611E7"/>
    <w:rsid w:val="00A93DDB"/>
    <w:rsid w:val="00A952DC"/>
    <w:rsid w:val="00B55B40"/>
    <w:rsid w:val="00B802EE"/>
    <w:rsid w:val="00BF6897"/>
    <w:rsid w:val="00C15C26"/>
    <w:rsid w:val="00C86B59"/>
    <w:rsid w:val="00CD2D36"/>
    <w:rsid w:val="00CD342E"/>
    <w:rsid w:val="00D20D77"/>
    <w:rsid w:val="00D30397"/>
    <w:rsid w:val="00DA3A3A"/>
    <w:rsid w:val="00DD7B4B"/>
    <w:rsid w:val="00E21589"/>
    <w:rsid w:val="00E647EB"/>
    <w:rsid w:val="00EC4796"/>
    <w:rsid w:val="00EC6512"/>
    <w:rsid w:val="00F32ED3"/>
    <w:rsid w:val="00F64A0E"/>
    <w:rsid w:val="00FA72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C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4A0E"/>
    <w:rPr>
      <w:color w:val="0563C1" w:themeColor="hyperlink"/>
      <w:u w:val="single"/>
    </w:rPr>
  </w:style>
  <w:style w:type="paragraph" w:styleId="Header">
    <w:name w:val="header"/>
    <w:basedOn w:val="Normal"/>
    <w:link w:val="HeaderChar"/>
    <w:uiPriority w:val="99"/>
    <w:unhideWhenUsed/>
    <w:rsid w:val="00747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06C"/>
  </w:style>
  <w:style w:type="paragraph" w:styleId="Footer">
    <w:name w:val="footer"/>
    <w:basedOn w:val="Normal"/>
    <w:link w:val="FooterChar"/>
    <w:uiPriority w:val="99"/>
    <w:unhideWhenUsed/>
    <w:rsid w:val="00747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06C"/>
  </w:style>
  <w:style w:type="paragraph" w:styleId="NormalWeb">
    <w:name w:val="Normal (Web)"/>
    <w:basedOn w:val="Normal"/>
    <w:uiPriority w:val="99"/>
    <w:semiHidden/>
    <w:unhideWhenUsed/>
    <w:rsid w:val="004B0A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deralreserve.gov/newsevents/pressreleases/files/bcreg20200131a1.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2020-10-20T11:27:00Z</dcterms:created>
  <dcterms:modified xsi:type="dcterms:W3CDTF">2020-10-20T11:27:00Z</dcterms:modified>
</cp:coreProperties>
</file>